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3906D0">
      <w:pPr>
        <w:pStyle w:val="17"/>
        <w:widowControl/>
      </w:pPr>
      <mc:AlternateContent>
        <mc:Choice Requires="wpsCustomData">
          <wpsCustomData:docfieldStart id="0" docfieldname="标题_1" hidden="0" print="1" readonly="0" index="2"/>
        </mc:Choice>
      </mc:AlternateContent>
      <w:r>
        <w:t>中国设备管理协会质量与可靠性专委会</w:t>
      </w:r>
      <w:r>
        <w:br w:type="textWrapping"/>
      </w:r>
      <w:r>
        <w:t>副主任、常务委员单位及委员管理暂行规定</w:t>
      </w:r>
      <mc:AlternateContent>
        <mc:Choice Requires="wpsCustomData">
          <wpsCustomData:docfieldEnd id="0"/>
        </mc:Choice>
      </mc:AlternateContent>
    </w:p>
    <w:p w14:paraId="342D09FE">
      <w:pPr>
        <w:pStyle w:val="11"/>
        <w:bidi w:val="0"/>
        <w:spacing w:beforeAutospacing="0" w:afterAutospacing="0" w:line="300" w:lineRule="exact"/>
      </w:pPr>
    </w:p>
    <w:p w14:paraId="778E743D">
      <w:pPr>
        <w:pStyle w:val="26"/>
        <w:widowControl/>
      </w:pPr>
      <w:r>
        <w:t>第一章　总则</w:t>
      </w:r>
    </w:p>
    <w:p w14:paraId="29C08F66">
      <w:pPr>
        <w:pStyle w:val="11"/>
      </w:pPr>
      <w:r>
        <w:t>＊＊</w:t>
      </w:r>
      <w:r>
        <w:rPr>
          <w:b/>
        </w:rPr>
        <w:t>第一条</w:t>
      </w:r>
      <w:r>
        <w:t>＊＊　为加强中国设备管理协会质量与可靠性专业委员会（以下简称＂专委会＂）的组织建设，规范副主任单位、常务委员单位及委员的管理工作，充分发挥专委会的行业引领作用，依据《中国设备管理协会章程》和专委会工作规则，制定本规定。</w:t>
      </w:r>
    </w:p>
    <w:p w14:paraId="7D572643">
      <w:pPr>
        <w:pStyle w:val="11"/>
      </w:pPr>
      <w:r>
        <w:t>＊＊</w:t>
      </w:r>
      <w:r>
        <w:rPr>
          <w:b/>
        </w:rPr>
        <w:t>第二条</w:t>
      </w:r>
      <w:r>
        <w:t>＊＊　本规定适用于专委会副主任单位、常务委员单位、委员及会员的管理工作。</w:t>
      </w:r>
    </w:p>
    <w:p w14:paraId="507333A5">
      <w:pPr>
        <w:pStyle w:val="11"/>
      </w:pPr>
      <w:r>
        <w:t>－－－</w:t>
      </w:r>
    </w:p>
    <w:p w14:paraId="3DB5A9EF">
      <w:pPr>
        <w:pStyle w:val="26"/>
        <w:widowControl/>
      </w:pPr>
      <w:r>
        <w:t>第二章　副主任单位职责</w:t>
      </w:r>
    </w:p>
    <w:p w14:paraId="51F63962">
      <w:pPr>
        <w:pStyle w:val="11"/>
      </w:pPr>
      <w:r>
        <w:t>＊＊</w:t>
      </w:r>
      <w:r>
        <w:rPr>
          <w:b/>
        </w:rPr>
        <w:t>第三条</w:t>
      </w:r>
      <w:r>
        <w:t>＊＊　副主任单位是专委会的核心领导力量，在主任委员会的领导下，参与专委会重大事项决策，发挥行业引领作用。</w:t>
      </w:r>
    </w:p>
    <w:p w14:paraId="2A4BA242">
      <w:pPr>
        <w:pStyle w:val="11"/>
      </w:pPr>
      <w:r>
        <w:t>＊＊第四条＊＊　副主任单位职责：</w:t>
      </w:r>
    </w:p>
    <w:p w14:paraId="3089735F">
      <w:pPr>
        <w:pStyle w:val="11"/>
      </w:pPr>
      <w:r>
        <w:t>（一）参与制定和修改专委会工作计划、工作报告和重要规章制度；</w:t>
      </w:r>
    </w:p>
    <w:p w14:paraId="47DC4E4A">
      <w:pPr>
        <w:pStyle w:val="11"/>
      </w:pPr>
      <w:r>
        <w:t>（二）牵头组织或参与专委会组织的重大行业活动，包括技术研讨、标准制定、行业调研等；</w:t>
      </w:r>
    </w:p>
    <w:p w14:paraId="376974A3">
      <w:pPr>
        <w:pStyle w:val="11"/>
      </w:pPr>
      <w:r>
        <w:t>（三）协助主任委员会开展行业自律和服务工作，推动行业健康发展；</w:t>
      </w:r>
    </w:p>
    <w:p w14:paraId="4E02EFDC">
      <w:pPr>
        <w:pStyle w:val="11"/>
        <w:ind w:firstLine="420"/>
      </w:pPr>
      <w:r>
        <w:rPr>
          <w:spacing wpsCustomData:val="-6" w:val="1"/>
        </w:rPr>
        <w:t>（四）监督专委会经费使用情况，对经费预算和决算进</w:t>
      </w:r>
      <w:r>
        <w:rPr>
          <w:spacing wpsCustomData:val="-6" w:val="-6"/>
        </w:rPr>
        <w:t>行</w:t>
      </w:r>
      <w:r>
        <w:t>审核；</w:t>
      </w:r>
    </w:p>
    <w:p w14:paraId="6F22E069">
      <w:pPr>
        <w:pStyle w:val="11"/>
      </w:pPr>
      <w:r>
        <w:t>（五）推荐副主任委员人选，配合做好副主任委员的考察和管理工作；</w:t>
      </w:r>
    </w:p>
    <w:p w14:paraId="58FC1879">
      <w:pPr>
        <w:pStyle w:val="11"/>
      </w:pPr>
      <w:r>
        <w:t>（六）完成主任委员会和中设协交办的其他工作。</w:t>
      </w:r>
    </w:p>
    <w:p w14:paraId="43F27F2C">
      <w:pPr>
        <w:pStyle w:val="11"/>
      </w:pPr>
      <w:r>
        <w:t>＊＊</w:t>
      </w:r>
      <w:r>
        <w:rPr>
          <w:b/>
        </w:rPr>
        <w:t>第五条</w:t>
      </w:r>
      <w:r>
        <w:t>＊＊　副主任单位应指定一名分管领导担任副主任委员，代表单位履行相关职责。</w:t>
      </w:r>
    </w:p>
    <w:p w14:paraId="3FDFE9B5">
      <w:pPr>
        <w:pStyle w:val="11"/>
      </w:pPr>
      <w:r>
        <w:t>－－－</w:t>
      </w:r>
    </w:p>
    <w:p w14:paraId="79B29237">
      <w:pPr>
        <w:pStyle w:val="26"/>
        <w:widowControl/>
      </w:pPr>
      <w:r>
        <w:t>第三章　常务委员单位职责</w:t>
      </w:r>
    </w:p>
    <w:p w14:paraId="7BD37B76">
      <w:pPr>
        <w:pStyle w:val="11"/>
      </w:pPr>
      <w:r>
        <w:t>＊＊</w:t>
      </w:r>
      <w:r>
        <w:rPr>
          <w:b/>
        </w:rPr>
        <w:t>第六条</w:t>
      </w:r>
      <w:r>
        <w:t>＊＊　常务委员单位是专委会的重要组成力量，在主任委员会的领导下，参与专委会重要事项的讨论和决策。</w:t>
      </w:r>
    </w:p>
    <w:p w14:paraId="04A30257">
      <w:pPr>
        <w:pStyle w:val="11"/>
      </w:pPr>
      <w:r>
        <w:t>＊＊</w:t>
      </w:r>
      <w:r>
        <w:rPr>
          <w:b/>
        </w:rPr>
        <w:t>第七条</w:t>
      </w:r>
      <w:r>
        <w:t>＊＊　常务委员单位职责：</w:t>
      </w:r>
    </w:p>
    <w:p w14:paraId="6761CDF0">
      <w:pPr>
        <w:pStyle w:val="11"/>
      </w:pPr>
      <w:r>
        <w:t>（一）参与专委会重要工作事项的讨论和决策；</w:t>
      </w:r>
    </w:p>
    <w:p w14:paraId="4ADD0F0B">
      <w:pPr>
        <w:pStyle w:val="11"/>
      </w:pPr>
      <w:r>
        <w:t>（二）组织或参与专委会组织的各项活动，包括会议、培训、调研、技术交流等；</w:t>
      </w:r>
    </w:p>
    <w:p w14:paraId="1883B245">
      <w:pPr>
        <w:pStyle w:val="11"/>
        <w:ind w:firstLine="420"/>
      </w:pPr>
      <w:r>
        <w:rPr>
          <w:spacing wpsCustomData:val="-6" w:val="8"/>
        </w:rPr>
        <w:t>（三）协助专委会开展行业调研、标准制定和技术研</w:t>
      </w:r>
      <w:r>
        <w:rPr>
          <w:spacing wpsCustomData:val="-6" w:val="-6"/>
        </w:rPr>
        <w:t>讨</w:t>
      </w:r>
      <w:r>
        <w:t>工作；</w:t>
      </w:r>
    </w:p>
    <w:p w14:paraId="4FF4F398">
      <w:pPr>
        <w:pStyle w:val="11"/>
      </w:pPr>
      <w:r>
        <w:t>（四）支持配合专委会的会员发展和服务工作；</w:t>
      </w:r>
    </w:p>
    <w:p w14:paraId="2FEDEAA0">
      <w:pPr>
        <w:pStyle w:val="11"/>
      </w:pPr>
      <w:r>
        <w:t>（五）监督专委会经费使用情况，提出合理化建议；</w:t>
      </w:r>
    </w:p>
    <w:p w14:paraId="2A7FC273">
      <w:pPr>
        <w:pStyle w:val="11"/>
      </w:pPr>
      <w:r>
        <w:t>（六）完成主任委员会和副主任委员会交办的工作任务。</w:t>
      </w:r>
    </w:p>
    <w:p w14:paraId="2F879CC3">
      <w:pPr>
        <w:pStyle w:val="11"/>
      </w:pPr>
      <w:r>
        <w:t>＊＊</w:t>
      </w:r>
      <w:r>
        <w:rPr>
          <w:b/>
        </w:rPr>
        <w:t>第七条</w:t>
      </w:r>
      <w:r>
        <w:t>＊＊　常务委员单位应指定一名分管领导担任常务委员，代表单位履行相关职责。</w:t>
      </w:r>
    </w:p>
    <w:p w14:paraId="20F08418">
      <w:pPr>
        <w:pStyle w:val="11"/>
      </w:pPr>
      <w:r>
        <w:t>－－－</w:t>
      </w:r>
    </w:p>
    <w:p w14:paraId="74C233EF">
      <w:pPr>
        <w:pStyle w:val="26"/>
        <w:widowControl/>
      </w:pPr>
      <w:r>
        <w:t>第四章　委员职责</w:t>
      </w:r>
    </w:p>
    <w:p w14:paraId="27E1DB7A">
      <w:pPr>
        <w:pStyle w:val="11"/>
      </w:pPr>
      <w:r>
        <w:t>＊＊</w:t>
      </w:r>
      <w:r>
        <w:rPr>
          <w:b/>
        </w:rPr>
        <w:t>第八条</w:t>
      </w:r>
      <w:r>
        <w:t>＊＊　委员是专委会的个人成员，由副主任单位、常务委员单位推荐产生，在专委会工作中发挥专业作用。</w:t>
      </w:r>
    </w:p>
    <w:p w14:paraId="4FBC68AC">
      <w:pPr>
        <w:pStyle w:val="11"/>
      </w:pPr>
      <w:r>
        <w:t>＊＊</w:t>
      </w:r>
      <w:r>
        <w:rPr>
          <w:b/>
        </w:rPr>
        <w:t>第九条</w:t>
      </w:r>
      <w:r>
        <w:t>＊＊　委员职责：</w:t>
      </w:r>
    </w:p>
    <w:p w14:paraId="2172AE9A">
      <w:pPr>
        <w:pStyle w:val="11"/>
      </w:pPr>
      <w:r>
        <w:t>（一）积极参加专委会组织的各项活动，履行委员职责；</w:t>
      </w:r>
    </w:p>
    <w:p w14:paraId="44F4F0F0">
      <w:pPr>
        <w:pStyle w:val="11"/>
      </w:pPr>
      <w:r>
        <w:t>（二）参与专委会组织的标准制定、技术研讨、行业调研等工作，提供专业意见和建议；</w:t>
      </w:r>
    </w:p>
    <w:p w14:paraId="5BC40E71">
      <w:pPr>
        <w:pStyle w:val="11"/>
        <w:ind w:firstLine="420"/>
      </w:pPr>
      <w:r>
        <w:rPr>
          <w:spacing wpsCustomData:val="-6" w:val="1"/>
        </w:rPr>
        <w:t>（三）向专委会反映行业情况和自身诉求，推动行业协</w:t>
      </w:r>
      <w:r>
        <w:rPr>
          <w:spacing wpsCustomData:val="-6" w:val="-6"/>
        </w:rPr>
        <w:t>同</w:t>
      </w:r>
      <w:r>
        <w:t>发展；</w:t>
      </w:r>
    </w:p>
    <w:p w14:paraId="0A06F0A8">
      <w:pPr>
        <w:pStyle w:val="11"/>
      </w:pPr>
      <w:r>
        <w:t>（四）维护专委会的声誉和权益，不得从事损害专委会和行业利益的活动；</w:t>
      </w:r>
    </w:p>
    <w:p w14:paraId="4409A909">
      <w:pPr>
        <w:pStyle w:val="11"/>
      </w:pPr>
      <w:r>
        <w:t>（五）完成专委会委托的各项工作任务。</w:t>
      </w:r>
    </w:p>
    <w:p w14:paraId="19A18FC0">
      <w:pPr>
        <w:pStyle w:val="11"/>
      </w:pPr>
      <w:r>
        <w:t>－－－</w:t>
      </w:r>
    </w:p>
    <w:p w14:paraId="6FD1E788">
      <w:pPr>
        <w:pStyle w:val="26"/>
        <w:widowControl/>
      </w:pPr>
      <w:r>
        <w:t>第五章　会员入会条件</w:t>
      </w:r>
    </w:p>
    <w:p w14:paraId="023772B6">
      <w:pPr>
        <w:pStyle w:val="11"/>
      </w:pPr>
      <w:r>
        <w:t>＊＊</w:t>
      </w:r>
      <w:r>
        <w:rPr>
          <w:b/>
        </w:rPr>
        <w:t>第十条</w:t>
      </w:r>
      <w:r>
        <w:t>＊＊　会员分类：</w:t>
      </w:r>
    </w:p>
    <w:p w14:paraId="1E06346C">
      <w:pPr>
        <w:pStyle w:val="11"/>
      </w:pPr>
      <w:r>
        <w:t>专委会会员分为单位会员和个人会员两类。副主任单位、常务委员单位应为单位会员。</w:t>
      </w:r>
    </w:p>
    <w:p w14:paraId="74A33899">
      <w:pPr>
        <w:pStyle w:val="11"/>
      </w:pPr>
      <w:r>
        <w:t>＊＊</w:t>
      </w:r>
      <w:r>
        <w:rPr>
          <w:b/>
        </w:rPr>
        <w:t>第十一条</w:t>
      </w:r>
      <w:r>
        <w:t>＊＊　单位会员入会条件：</w:t>
      </w:r>
    </w:p>
    <w:p w14:paraId="5BE69E71">
      <w:pPr>
        <w:pStyle w:val="11"/>
      </w:pPr>
      <w:r>
        <w:t>（一）拥护中国共产党的领导，遵守国家法律法规和行业政策</w:t>
      </w:r>
      <w:r>
        <w:rPr>
          <w:spacing wpsCustomData:val="-6" w:val="0"/>
        </w:rPr>
        <w:t>，</w:t>
      </w:r>
      <w:r>
        <w:rPr>
          <w:spacing wpsCustomData:val="-6" w:val="1"/>
        </w:rPr>
        <w:t>践行社会主义核心价值</w:t>
      </w:r>
      <w:r>
        <w:rPr>
          <w:spacing wpsCustomData:val="-6" w:val="0"/>
        </w:rPr>
        <w:t>观，</w:t>
      </w:r>
      <w:r>
        <w:rPr>
          <w:spacing wpsCustomData:val="-6" w:val="1"/>
        </w:rPr>
        <w:t>遵守中设协章程和专委会工</w:t>
      </w:r>
      <w:r>
        <w:rPr>
          <w:spacing wpsCustomData:val="-6" w:val="-6"/>
        </w:rPr>
        <w:t>作</w:t>
      </w:r>
      <w:r>
        <w:t>规则；</w:t>
      </w:r>
    </w:p>
    <w:p w14:paraId="1016EAFD">
      <w:pPr>
        <w:pStyle w:val="11"/>
      </w:pPr>
      <w:r>
        <w:t>（二）在质量与可靠性领域具有一定的实力和影响力，依法注</w:t>
      </w:r>
      <w:r>
        <w:rPr>
          <w:spacing wpsCustomData:val="-6" w:val="7"/>
        </w:rPr>
        <w:t>册登记，具有独立法人资格，经营状况良好，无违法违</w:t>
      </w:r>
      <w:r>
        <w:rPr>
          <w:spacing wpsCustomData:val="-6" w:val="-6"/>
        </w:rPr>
        <w:t>规</w:t>
      </w:r>
      <w:r>
        <w:t>记录；</w:t>
      </w:r>
    </w:p>
    <w:p w14:paraId="27E637BC">
      <w:pPr>
        <w:pStyle w:val="11"/>
      </w:pPr>
      <w:r>
        <w:t>（三）认同专委会的宗旨和理念，愿意积极参与专委会的各项活动，履行会员义务，维护专委会的声誉和权益；</w:t>
      </w:r>
    </w:p>
    <w:p w14:paraId="783812B4">
      <w:pPr>
        <w:pStyle w:val="11"/>
      </w:pPr>
      <w:r>
        <w:t>（四）按时缴纳会费（会费标准由专委会制定）；</w:t>
      </w:r>
    </w:p>
    <w:p w14:paraId="303114CD">
      <w:pPr>
        <w:pStyle w:val="11"/>
      </w:pPr>
      <w:r>
        <w:t>（五）符合专委会规定的其他条件：须具备相应的行业资质，在质量与可靠性相关领域具有一定的研究实力或实践经验。</w:t>
      </w:r>
    </w:p>
    <w:p w14:paraId="79E97133">
      <w:pPr>
        <w:pStyle w:val="11"/>
      </w:pPr>
      <w:r>
        <w:t>＊＊</w:t>
      </w:r>
      <w:r>
        <w:rPr>
          <w:b/>
        </w:rPr>
        <w:t>第十二条</w:t>
      </w:r>
      <w:r>
        <w:t>＊＊　个人委员入会条件：</w:t>
      </w:r>
    </w:p>
    <w:p w14:paraId="23CDFA4A">
      <w:pPr>
        <w:pStyle w:val="11"/>
      </w:pPr>
      <w:r>
        <w:t>（一）拥护中国共产党的领导，遵守国家法律法规，践行社会主义核心价值观，遵守中设协章程和专委会工作规则；</w:t>
      </w:r>
    </w:p>
    <w:p w14:paraId="5315BCEF">
      <w:pPr>
        <w:pStyle w:val="11"/>
        <w:ind w:firstLine="420"/>
      </w:pPr>
      <w:r>
        <w:rPr>
          <w:spacing wpsCustomData:val="-6" w:val="1"/>
        </w:rPr>
        <w:t>（二）在质量与可靠性相关领域具有较高的专业水平和</w:t>
      </w:r>
      <w:r>
        <w:rPr>
          <w:spacing wpsCustomData:val="-6" w:val="-6"/>
        </w:rPr>
        <w:t>影</w:t>
      </w:r>
      <w:r>
        <w:t>响力；</w:t>
      </w:r>
    </w:p>
    <w:p w14:paraId="3F2002CC">
      <w:pPr>
        <w:pStyle w:val="11"/>
      </w:pPr>
      <w:r>
        <w:t>（三）须具有高级或相当于高级及以上专业技术职务，长期从事质量与可靠性相关工作，具有较丰富的实践经验；</w:t>
      </w:r>
    </w:p>
    <w:p w14:paraId="21F9E851">
      <w:pPr>
        <w:pStyle w:val="11"/>
      </w:pPr>
      <w:r>
        <w:t>（四）认同专委会的宗旨和理念，愿意积极参与专委会的各项活动，履行委员义务；</w:t>
      </w:r>
    </w:p>
    <w:p w14:paraId="1E6239E8">
      <w:pPr>
        <w:pStyle w:val="11"/>
      </w:pPr>
      <w:r>
        <w:t>（五）由副主任单位或常务委员单位推荐。</w:t>
      </w:r>
    </w:p>
    <w:p w14:paraId="49F29FFD">
      <w:pPr>
        <w:pStyle w:val="11"/>
      </w:pPr>
      <w:r>
        <w:t>＊＊</w:t>
      </w:r>
      <w:r>
        <w:rPr>
          <w:b/>
        </w:rPr>
        <w:t>第十三条</w:t>
      </w:r>
      <w:r>
        <w:t>＊＊　入会程序：</w:t>
      </w:r>
    </w:p>
    <w:p w14:paraId="4242021C">
      <w:pPr>
        <w:pStyle w:val="11"/>
      </w:pPr>
      <w:r>
        <w:t>（一）提交入会申请及相关材料；</w:t>
      </w:r>
    </w:p>
    <w:p w14:paraId="0FB1A629">
      <w:pPr>
        <w:pStyle w:val="11"/>
      </w:pPr>
      <w:r>
        <w:t>（二）经专委会秘书处审核，报主任委员会批准；</w:t>
      </w:r>
    </w:p>
    <w:p w14:paraId="00F0E323">
      <w:pPr>
        <w:pStyle w:val="11"/>
        <w:ind w:firstLine="420"/>
      </w:pPr>
      <w:r>
        <w:rPr>
          <w:spacing wpsCustomData:val="-6" w:val="8"/>
        </w:rPr>
        <w:t>（三）办理入会手续，缴纳会费（个人委员暂不交纳</w:t>
      </w:r>
      <w:r>
        <w:rPr>
          <w:spacing wpsCustomData:val="-6" w:val="-6"/>
        </w:rPr>
        <w:t>会</w:t>
      </w:r>
      <w:r>
        <w:t>费）。</w:t>
      </w:r>
    </w:p>
    <w:p w14:paraId="3679E129">
      <w:pPr>
        <w:pStyle w:val="11"/>
      </w:pPr>
      <w:r>
        <w:t>－－－</w:t>
      </w:r>
    </w:p>
    <w:p w14:paraId="0F99D973">
      <w:pPr>
        <w:pStyle w:val="26"/>
        <w:widowControl/>
      </w:pPr>
      <w:r>
        <w:t>第六章　权利与义务</w:t>
      </w:r>
    </w:p>
    <w:p w14:paraId="7F9BDEA0">
      <w:pPr>
        <w:pStyle w:val="11"/>
      </w:pPr>
      <w:r>
        <w:t>＊＊</w:t>
      </w:r>
      <w:r>
        <w:rPr>
          <w:b/>
        </w:rPr>
        <w:t>第十四条</w:t>
      </w:r>
      <w:r>
        <w:t>＊＊　会员权利：</w:t>
      </w:r>
    </w:p>
    <w:p w14:paraId="03B1D937">
      <w:pPr>
        <w:pStyle w:val="11"/>
      </w:pPr>
      <w:r>
        <w:t>（一）享有专委会的选举权、被选举权和表决权（仅限副主任单位、常务委员单位、委员）；</w:t>
      </w:r>
    </w:p>
    <w:p w14:paraId="77B57500">
      <w:pPr>
        <w:pStyle w:val="11"/>
      </w:pPr>
      <w:r>
        <w:t>（二）有权参加专委会组织的各项活动，获取专委会的资源、信息和服务；</w:t>
      </w:r>
    </w:p>
    <w:p w14:paraId="27E80743">
      <w:pPr>
        <w:pStyle w:val="11"/>
      </w:pPr>
      <w:r>
        <w:t>（三）有权对专委会的工作提出建议和批评，监督专委会的工作和经费使用；</w:t>
      </w:r>
    </w:p>
    <w:p w14:paraId="0A8BD73D">
      <w:pPr>
        <w:pStyle w:val="11"/>
      </w:pPr>
      <w:r>
        <w:t>（四）有权参与专委会组织的标准制定、技术研讨、行业调研等工作，分享行业成果；</w:t>
      </w:r>
    </w:p>
    <w:p w14:paraId="0F58B2DD">
      <w:pPr>
        <w:pStyle w:val="11"/>
      </w:pPr>
      <w:r>
        <w:t>（五）有权要求专委会协助解决自身在发展中遇到的问题，反映行业诉求和自身需求；</w:t>
      </w:r>
    </w:p>
    <w:p w14:paraId="01773561">
      <w:pPr>
        <w:pStyle w:val="11"/>
      </w:pPr>
      <w:r>
        <w:t>（六）享有退会自由，退会须书面通知专委会。</w:t>
      </w:r>
    </w:p>
    <w:p w14:paraId="1C01977E">
      <w:pPr>
        <w:pStyle w:val="11"/>
      </w:pPr>
      <w:r>
        <w:t>＊＊</w:t>
      </w:r>
      <w:r>
        <w:rPr>
          <w:b/>
        </w:rPr>
        <w:t>第十五条</w:t>
      </w:r>
      <w:r>
        <w:t>＊＊　会员义务：</w:t>
      </w:r>
    </w:p>
    <w:p w14:paraId="4D95EC8E">
      <w:pPr>
        <w:pStyle w:val="11"/>
      </w:pPr>
      <w:r>
        <w:t>（一）遵守中设协章程和专委会工作规则、会员管理办法等相关规定，执行专委会的决议；</w:t>
      </w:r>
    </w:p>
    <w:p w14:paraId="199A6698">
      <w:pPr>
        <w:pStyle w:val="11"/>
      </w:pPr>
      <w:r>
        <w:t>（二）积极参加专委会组织的各项活动，履行会员职责，完成专委会委托的工作任务；</w:t>
      </w:r>
    </w:p>
    <w:p w14:paraId="3A950D0A">
      <w:pPr>
        <w:pStyle w:val="11"/>
      </w:pPr>
      <w:r>
        <w:t>（三）按时缴纳会费，不得拖欠；</w:t>
      </w:r>
    </w:p>
    <w:p w14:paraId="119C0869">
      <w:pPr>
        <w:pStyle w:val="11"/>
      </w:pPr>
      <w:r>
        <w:t>（四）维护专委会的声誉和权益，不得从事损害专委会和行业利益的活动；</w:t>
      </w:r>
    </w:p>
    <w:p w14:paraId="033157B5">
      <w:pPr>
        <w:pStyle w:val="11"/>
      </w:pPr>
      <w:r>
        <w:t>（五）向专委会提供相关行业信息、技术资料和工作建议，配合专委会开展调研、统计等工作；</w:t>
      </w:r>
    </w:p>
    <w:p w14:paraId="55E336B0">
      <w:pPr>
        <w:pStyle w:val="11"/>
      </w:pPr>
      <w:r>
        <w:t>（六）遵守行业自律规范，规范自身经营行为，推动行业健康发展；</w:t>
      </w:r>
    </w:p>
    <w:p w14:paraId="28040192">
      <w:pPr>
        <w:pStyle w:val="11"/>
      </w:pPr>
      <w:r>
        <w:t>（七）向专委会反映行业情况和自身诉求，积极参与行业协同发展。</w:t>
      </w:r>
    </w:p>
    <w:p w14:paraId="204EF4DF">
      <w:pPr>
        <w:pStyle w:val="11"/>
      </w:pPr>
      <w:r>
        <w:t>－－－</w:t>
      </w:r>
    </w:p>
    <w:p w14:paraId="44CA0DAA">
      <w:pPr>
        <w:pStyle w:val="26"/>
        <w:widowControl/>
      </w:pPr>
      <w:r>
        <w:t>第七章　附则</w:t>
      </w:r>
    </w:p>
    <w:p w14:paraId="7A139112">
      <w:pPr>
        <w:pStyle w:val="11"/>
      </w:pPr>
      <w:r>
        <w:t>＊＊</w:t>
      </w:r>
      <w:r>
        <w:rPr>
          <w:b/>
        </w:rPr>
        <w:t>第十六条</w:t>
      </w:r>
      <w:r>
        <w:t>＊＊　本规定由专委会负责解释。</w:t>
      </w:r>
    </w:p>
    <w:p w14:paraId="302E0A7D">
      <w:pPr>
        <w:pStyle w:val="11"/>
      </w:pPr>
      <w:r>
        <w:t>＊＊</w:t>
      </w:r>
      <w:r>
        <w:rPr>
          <w:b/>
        </w:rPr>
        <w:t>第十七条</w:t>
      </w:r>
      <w:r>
        <w:t>＊＊　本规定自发布之日起施行。</w:t>
      </w:r>
    </w:p>
    <w:p w14:paraId="3DE34DEB">
      <w:pPr>
        <w:pStyle w:val="11"/>
        <w:bidi w:val="0"/>
      </w:pPr>
    </w:p>
    <w:p w14:paraId="01F6ED30">
      <w:pPr>
        <w:pStyle w:val="11"/>
        <w:bidi w:val="0"/>
      </w:pPr>
    </w:p>
    <w:p w14:paraId="64F86DDF">
      <w:pPr>
        <w:pStyle w:val="11"/>
        <w:bidi w:val="0"/>
      </w:pPr>
    </w:p>
    <w:p w14:paraId="6E193E17">
      <w:pPr>
        <w:pStyle w:val="11"/>
        <w:bidi w:val="0"/>
        <w:rPr>
          <w:rFonts w:hint="default" w:eastAsia="仿宋_GB2312"/>
          <w:lang w:val="en-US" w:eastAsia="zh-CN"/>
        </w:rPr>
      </w:pPr>
      <w:r>
        <w:rPr>
          <w:rFonts w:hint="eastAsia"/>
          <w:lang w:val="en-US" w:eastAsia="zh-CN"/>
        </w:rPr>
        <w:t xml:space="preserve">    </w:t>
      </w:r>
    </w:p>
    <w:p w14:paraId="2DAECBB4">
      <w:pPr>
        <w:pStyle w:val="11"/>
        <w:bidi w:val="0"/>
        <w:rPr>
          <w:rFonts w:hint="default" w:eastAsia="仿宋_GB2312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                                     2026年4月10日</w:t>
      </w:r>
    </w:p>
    <w:p w14:paraId="4F69468B">
      <w:pPr>
        <w:pStyle w:val="11"/>
        <w:bidi w:val="0"/>
        <w:rPr>
          <w:rFonts w:hint="default" w:eastAsia="仿宋_GB2312"/>
          <w:lang w:val="en-US" w:eastAsia="zh-CN"/>
        </w:rPr>
      </w:pPr>
      <w:bookmarkStart w:id="0" w:name="_GoBack"/>
      <w:bookmarkEnd w:id="0"/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2098" w:right="1474" w:bottom="1984" w:left="1587" w:header="851" w:footer="1417" w:gutter="0"/>
      <w:pgNumType w:fmt="decimal" w:start="1"/>
      <w:cols w:space="720" w:num="1"/>
      <w:docGrid w:type="linesAndChars" w:linePitch="579" w:charSpace="1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楷体_GB2312">
    <w:altName w:val="汉仪楷体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楷体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仿宋_GB2312">
    <w:altName w:val="方正仿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E782C8">
    <w:pPr>
      <w:pStyle w:val="1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F20B475">
                          <w:pPr>
                            <w:pStyle w:val="13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AalSs7WAAAABgEAAA8AAAAAAAAAAQAgAAAAIgAAAGRycy9kb3ducmV2&#10;LnhtbFBLAQIUABQAAAAIAIdO4kAMiZEMNwIAAGsEAAAOAAAAAAAAAAEAIAAAACUBAABkcnMvZTJv&#10;RG9jLnhtbFBLBQYAAAAABgAGAFkBAADOBQAAAAA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1F20B475">
                    <w:pPr>
                      <w:pStyle w:val="13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A58631">
    <w:pPr>
      <w:pStyle w:val="13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E7A284D">
                          <w:pPr>
                            <w:pStyle w:val="13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2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AGpUrO1gAAAAYBAAAPAAAAAAAAAAEAIAAAACIAAABkcnMvZG93bnJl&#10;di54bWxQSwECFAAUAAAACACHTuJAc3nUujgCAABrBAAADgAAAAAAAAABACAAAAAlAQAAZHJzL2Uy&#10;b0RvYy54bWxQSwUGAAAAAAYABgBZAQAAzwUAAAAA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7E7A284D">
                    <w:pPr>
                      <w:pStyle w:val="13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2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FEE9C3">
    <w:pPr>
      <w:pStyle w:val="1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F3C319">
    <w:pPr>
      <w:pStyle w:val="1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documentProtection w:enforcement="0"/>
  <w:evenAndOddHeaders w:val="1"/>
  <w:drawingGridHorizontalSpacing w:val="158"/>
  <w:drawingGridVerticalSpacing w:val="290"/>
  <w:displayHorizontalDrawingGridEvery w:val="2"/>
  <w:displayVerticalDrawingGridEvery w:val="2"/>
  <w:compat>
    <w:useFELayout/>
    <w:compatSetting w:name="compatibilityMode" w:uri="http://schemas.microsoft.com/office/word" w:val="15"/>
  </w:compat>
  <w:rsids>
    <w:rsidRoot w:val="00000000"/>
    <w:rsid w:val="6DC9C0BB"/>
    <w:rsid w:val="F7D96C34"/>
    <w:rsid w:val="F8ACE3A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iPriority="99" w:name="endnote reference"/>
    <w:lsdException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</w:rPr>
  </w:style>
  <w:style w:type="paragraph" w:styleId="3">
    <w:name w:val="heading 2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1"/>
    </w:pPr>
    <w:rPr>
      <w:rFonts w:ascii="Times New Roman" w:hAnsi="Times New Roman" w:eastAsia="楷体_GB2312" w:cs="楷体_GB2312"/>
      <w:sz w:val="32"/>
      <w:szCs w:val="32"/>
    </w:rPr>
  </w:style>
  <w:style w:type="paragraph" w:styleId="4">
    <w:name w:val="heading 3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2"/>
    </w:pPr>
    <w:rPr>
      <w:rFonts w:ascii="Times New Roman" w:hAnsi="Times New Roman" w:eastAsia="仿宋_GB2312" w:cs="仿宋_GB2312"/>
      <w:sz w:val="32"/>
      <w:szCs w:val="32"/>
    </w:rPr>
  </w:style>
  <w:style w:type="paragraph" w:styleId="5">
    <w:name w:val="heading 4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3"/>
    </w:pPr>
    <w:rPr>
      <w:rFonts w:ascii="Times New Roman" w:hAnsi="Times New Roman" w:eastAsia="仿宋_GB2312" w:cs="仿宋_GB2312"/>
      <w:sz w:val="32"/>
      <w:szCs w:val="32"/>
    </w:rPr>
  </w:style>
  <w:style w:type="paragraph" w:styleId="6">
    <w:name w:val="heading 5"/>
    <w:next w:val="1"/>
    <w:qFormat/>
    <w:uiPriority w:val="0"/>
    <w:pPr>
      <w:spacing w:line="560" w:lineRule="exact"/>
      <w:ind w:firstLine="894" w:firstLineChars="200"/>
      <w:outlineLvl w:val="4"/>
    </w:pPr>
    <w:rPr>
      <w:rFonts w:ascii="Times New Roman" w:hAnsi="Times New Roman" w:eastAsia="仿宋_GB2312" w:cs="仿宋_GB2312"/>
      <w:sz w:val="32"/>
      <w:szCs w:val="32"/>
    </w:rPr>
  </w:style>
  <w:style w:type="paragraph" w:styleId="7">
    <w:name w:val="heading 6"/>
    <w:next w:val="1"/>
    <w:qFormat/>
    <w:uiPriority w:val="0"/>
    <w:pPr>
      <w:spacing w:line="560" w:lineRule="exact"/>
      <w:ind w:firstLine="894" w:firstLineChars="200"/>
      <w:outlineLvl w:val="5"/>
    </w:pPr>
    <w:rPr>
      <w:rFonts w:ascii="Times New Roman" w:hAnsi="Times New Roman" w:eastAsia="仿宋_GB2312" w:cs="仿宋_GB2312"/>
      <w:sz w:val="32"/>
      <w:szCs w:val="32"/>
    </w:rPr>
  </w:style>
  <w:style w:type="paragraph" w:styleId="8">
    <w:name w:val="heading 7"/>
    <w:next w:val="1"/>
    <w:semiHidden/>
    <w:unhideWhenUsed/>
    <w:qFormat/>
    <w:uiPriority w:val="0"/>
    <w:pPr>
      <w:spacing w:line="560" w:lineRule="exact"/>
      <w:ind w:firstLine="894" w:firstLineChars="200"/>
      <w:outlineLvl w:val="6"/>
    </w:pPr>
    <w:rPr>
      <w:rFonts w:ascii="Times New Roman" w:hAnsi="Times New Roman" w:eastAsia="仿宋_GB2312" w:cs="仿宋_GB2312"/>
      <w:sz w:val="32"/>
      <w:szCs w:val="32"/>
    </w:rPr>
  </w:style>
  <w:style w:type="paragraph" w:styleId="9">
    <w:name w:val="heading 8"/>
    <w:next w:val="1"/>
    <w:semiHidden/>
    <w:unhideWhenUsed/>
    <w:qFormat/>
    <w:uiPriority w:val="0"/>
    <w:pPr>
      <w:spacing w:line="560" w:lineRule="exact"/>
      <w:ind w:firstLine="894" w:firstLineChars="200"/>
      <w:outlineLvl w:val="7"/>
    </w:pPr>
    <w:rPr>
      <w:rFonts w:ascii="Times New Roman" w:hAnsi="Times New Roman" w:eastAsia="仿宋_GB2312" w:cs="仿宋_GB2312"/>
      <w:sz w:val="32"/>
      <w:szCs w:val="32"/>
    </w:rPr>
  </w:style>
  <w:style w:type="paragraph" w:styleId="10">
    <w:name w:val="heading 9"/>
    <w:next w:val="1"/>
    <w:semiHidden/>
    <w:unhideWhenUsed/>
    <w:qFormat/>
    <w:uiPriority w:val="0"/>
    <w:pPr>
      <w:spacing w:line="560" w:lineRule="exact"/>
      <w:ind w:firstLine="894" w:firstLineChars="200"/>
      <w:outlineLvl w:val="8"/>
    </w:pPr>
    <w:rPr>
      <w:rFonts w:ascii="Times New Roman" w:hAnsi="Times New Roman" w:eastAsia="仿宋_GB2312" w:cs="仿宋_GB2312"/>
      <w:sz w:val="32"/>
      <w:szCs w:val="32"/>
    </w:rPr>
  </w:style>
  <w:style w:type="character" w:default="1" w:styleId="19">
    <w:name w:val="Default Paragraph Font"/>
    <w:semiHidden/>
    <w:uiPriority w:val="0"/>
  </w:style>
  <w:style w:type="table" w:default="1" w:styleId="18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uiPriority w:val="0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</w:rPr>
  </w:style>
  <w:style w:type="paragraph" w:styleId="12">
    <w:name w:val="endnote text"/>
    <w:link w:val="25"/>
    <w:semiHidden/>
    <w:unhideWhenUsed/>
    <w:uiPriority w:val="99"/>
    <w:pPr>
      <w:spacing w:after="0" w:line="240" w:lineRule="auto"/>
    </w:pPr>
    <w:rPr>
      <w:rFonts w:asciiTheme="minorHAnsi" w:hAnsiTheme="minorHAnsi" w:eastAsiaTheme="minorEastAsia" w:cstheme="minorBidi"/>
      <w:sz w:val="20"/>
      <w:szCs w:val="20"/>
    </w:rPr>
  </w:style>
  <w:style w:type="paragraph" w:styleId="1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5">
    <w:name w:val="Subtitle"/>
    <w:qFormat/>
    <w:uiPriority w:val="0"/>
    <w:pPr>
      <w:spacing w:beforeLines="0" w:beforeAutospacing="0" w:afterLines="0" w:afterAutospacing="0" w:line="720" w:lineRule="exact"/>
      <w:jc w:val="center"/>
      <w:outlineLvl w:val="9"/>
    </w:pPr>
    <w:rPr>
      <w:rFonts w:ascii="Times New Roman" w:hAnsi="Times New Roman" w:eastAsia="仿宋_GB2312" w:cs="仿宋_GB2312"/>
      <w:kern w:val="28"/>
      <w:sz w:val="32"/>
      <w:szCs w:val="32"/>
    </w:rPr>
  </w:style>
  <w:style w:type="paragraph" w:styleId="16">
    <w:name w:val="footnote text"/>
    <w:link w:val="24"/>
    <w:semiHidden/>
    <w:unhideWhenUsed/>
    <w:uiPriority w:val="99"/>
    <w:pPr>
      <w:spacing w:after="0" w:line="240" w:lineRule="auto"/>
    </w:pPr>
    <w:rPr>
      <w:rFonts w:asciiTheme="minorHAnsi" w:hAnsiTheme="minorHAnsi" w:eastAsiaTheme="minorEastAsia" w:cstheme="minorBidi"/>
      <w:sz w:val="20"/>
      <w:szCs w:val="20"/>
    </w:rPr>
  </w:style>
  <w:style w:type="paragraph" w:styleId="17">
    <w:name w:val="Title"/>
    <w:qFormat/>
    <w:uiPriority w:val="0"/>
    <w:pPr>
      <w:spacing w:line="720" w:lineRule="exact"/>
      <w:jc w:val="center"/>
      <w:outlineLvl w:val="9"/>
    </w:pPr>
    <w:rPr>
      <w:rFonts w:ascii="方正小标宋简体" w:hAnsi="方正小标宋简体" w:eastAsia="方正小标宋简体" w:cs="方正小标宋简体"/>
      <w:sz w:val="44"/>
      <w:szCs w:val="44"/>
    </w:rPr>
  </w:style>
  <w:style w:type="character" w:styleId="20">
    <w:name w:val="endnote reference"/>
    <w:semiHidden/>
    <w:unhideWhenUsed/>
    <w:uiPriority w:val="99"/>
    <w:rPr>
      <w:vertAlign w:val="superscript"/>
    </w:rPr>
  </w:style>
  <w:style w:type="character" w:styleId="21">
    <w:name w:val="Hyperlink"/>
    <w:unhideWhenUsed/>
    <w:uiPriority w:val="99"/>
    <w:rPr>
      <w:color w:val="0563C1"/>
      <w:u w:val="single"/>
    </w:rPr>
  </w:style>
  <w:style w:type="character" w:styleId="22">
    <w:name w:val="footnote reference"/>
    <w:semiHidden/>
    <w:unhideWhenUsed/>
    <w:uiPriority w:val="99"/>
    <w:rPr>
      <w:vertAlign w:val="superscript"/>
    </w:rPr>
  </w:style>
  <w:style w:type="paragraph" w:styleId="23">
    <w:name w:val="List Paragraph"/>
    <w:qFormat/>
    <w:uiPriority w:val="0"/>
    <w:rPr>
      <w:rFonts w:asciiTheme="minorHAnsi" w:hAnsiTheme="minorHAnsi" w:eastAsiaTheme="minorEastAsia" w:cstheme="minorBidi"/>
      <w:sz w:val="21"/>
      <w:szCs w:val="22"/>
    </w:rPr>
  </w:style>
  <w:style w:type="character" w:customStyle="1" w:styleId="24">
    <w:name w:val="Footnote Text Char"/>
    <w:link w:val="16"/>
    <w:semiHidden/>
    <w:unhideWhenUsed/>
    <w:uiPriority w:val="99"/>
    <w:rPr>
      <w:sz w:val="20"/>
      <w:szCs w:val="20"/>
    </w:rPr>
  </w:style>
  <w:style w:type="character" w:customStyle="1" w:styleId="25">
    <w:name w:val="Endnote Text Char"/>
    <w:link w:val="12"/>
    <w:semiHidden/>
    <w:unhideWhenUsed/>
    <w:uiPriority w:val="99"/>
    <w:rPr>
      <w:sz w:val="20"/>
      <w:szCs w:val="20"/>
    </w:rPr>
  </w:style>
  <w:style w:type="paragraph" w:customStyle="1" w:styleId="26">
    <w:name w:val="章标题"/>
    <w:next w:val="1"/>
    <w:uiPriority w:val="0"/>
    <w:pPr>
      <w:widowControl w:val="0"/>
      <w:spacing w:line="560" w:lineRule="exact"/>
      <w:jc w:val="center"/>
      <w:outlineLvl w:val="0"/>
    </w:pPr>
    <w:rPr>
      <w:rFonts w:ascii="黑体" w:hAnsi="黑体" w:eastAsia="黑体" w:cs="黑体"/>
      <w:bCs/>
      <w:spacing w:val="-6"/>
      <w:kern w:val="44"/>
      <w:sz w:val="32"/>
      <w:szCs w:val="32"/>
      <w:lang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6</Pages>
  <TotalTime>0</TotalTime>
  <ScaleCrop>false</ScaleCrop>
  <LinksUpToDate>false</LinksUpToDate>
  <Application>WPS Office_12.1.25205.25205_F1E327BC-269C-435d-A152-05C5408002CA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2026-04-17T10:46:13Z</dcterms:created>
  <dc:creator>Un-named</dc:creator>
  <cp:lastModifiedBy>奇迹人生</cp:lastModifiedBy>
  <dcterms:modified xsi:type="dcterms:W3CDTF">2026-04-17T10:51:08Z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2052-12.1.25205.25205</vt:lpwstr>
  </property>
  <property fmtid="{D5CDD505-2E9C-101B-9397-08002B2CF9AE}" pid="3" name="ICV">
    <vt:lpwstr>BE2F4D4790F1A19B009FE169DE30DC2D_43</vt:lpwstr>
  </property>
</Properties>
</file>